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b7399ef3e39242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2020-08-30T21:38:07Z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2021-04-23T02:46:01Z</value>
    </field>
    <field name="Objective-ModificationStamp">
      <value order="0">2021-04-23T02:46:01Z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A6819542</vt:lpwstr>
  </property>
  <property fmtid="{D5CDD505-2E9C-101B-9397-08002B2CF9AE}" pid="4" name="Objective-Title">
    <vt:lpwstr>L Indigenous Residents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2020-08-30T21:38:07Z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2021-04-23T02:46:01Z</vt:filetime>
  </property>
  <property fmtid="{D5CDD505-2E9C-101B-9397-08002B2CF9AE}" pid="10" name="Objective-ModificationStamp">
    <vt:filetime>2021-04-23T02:46:01Z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vA9844432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